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245BD4" w:rsidRDefault="00245BD4" w:rsidP="00245BD4">
      <w:pPr>
        <w:jc w:val="center"/>
        <w:rPr>
          <w:sz w:val="28"/>
        </w:rPr>
      </w:pPr>
    </w:p>
    <w:p w14:paraId="0DBD2052" w14:textId="336545C7" w:rsidR="00DB1504" w:rsidRPr="006E7BC8" w:rsidRDefault="59042E62" w:rsidP="59042E62">
      <w:pPr>
        <w:jc w:val="center"/>
        <w:rPr>
          <w:b/>
          <w:bCs/>
          <w:sz w:val="28"/>
          <w:szCs w:val="28"/>
        </w:rPr>
      </w:pPr>
      <w:r w:rsidRPr="59042E62">
        <w:rPr>
          <w:b/>
          <w:bCs/>
          <w:sz w:val="28"/>
          <w:szCs w:val="28"/>
        </w:rPr>
        <w:t xml:space="preserve"> Local Delivery S</w:t>
      </w:r>
      <w:r w:rsidR="00D73B08">
        <w:rPr>
          <w:b/>
          <w:bCs/>
          <w:sz w:val="28"/>
          <w:szCs w:val="28"/>
        </w:rPr>
        <w:t>ACE and VET Subject Outline 2020</w:t>
      </w:r>
    </w:p>
    <w:p w14:paraId="0A37501D" w14:textId="7616231C" w:rsidR="00245BD4" w:rsidRDefault="00D73B08" w:rsidP="53AE06AE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(To be completed by D</w:t>
      </w:r>
      <w:r w:rsidR="53AE06AE" w:rsidRPr="53AE06AE">
        <w:rPr>
          <w:sz w:val="28"/>
          <w:szCs w:val="28"/>
        </w:rPr>
        <w:t>elivery school and emailed to NFP Team)</w:t>
      </w:r>
    </w:p>
    <w:tbl>
      <w:tblPr>
        <w:tblStyle w:val="TableGrid"/>
        <w:tblW w:w="10438" w:type="dxa"/>
        <w:tblLook w:val="04A0" w:firstRow="1" w:lastRow="0" w:firstColumn="1" w:lastColumn="0" w:noHBand="0" w:noVBand="1"/>
      </w:tblPr>
      <w:tblGrid>
        <w:gridCol w:w="2263"/>
        <w:gridCol w:w="8175"/>
      </w:tblGrid>
      <w:tr w:rsidR="0020341D" w:rsidRPr="00AB16D4" w14:paraId="2C516EA4" w14:textId="77777777" w:rsidTr="53AE06AE">
        <w:tc>
          <w:tcPr>
            <w:tcW w:w="2263" w:type="dxa"/>
          </w:tcPr>
          <w:p w14:paraId="68F03440" w14:textId="77777777" w:rsidR="0020341D" w:rsidRPr="00AB16D4" w:rsidRDefault="0020341D" w:rsidP="0020341D">
            <w:pPr>
              <w:rPr>
                <w:sz w:val="24"/>
                <w:szCs w:val="24"/>
              </w:rPr>
            </w:pPr>
            <w:r w:rsidRPr="00AB16D4">
              <w:rPr>
                <w:sz w:val="24"/>
                <w:szCs w:val="24"/>
              </w:rPr>
              <w:t xml:space="preserve">Delivery School </w:t>
            </w:r>
          </w:p>
        </w:tc>
        <w:tc>
          <w:tcPr>
            <w:tcW w:w="8175" w:type="dxa"/>
          </w:tcPr>
          <w:p w14:paraId="5DAB6C7B" w14:textId="41F63849" w:rsidR="0020341D" w:rsidRDefault="003A69BD" w:rsidP="003A6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Edward John Eyre High School</w:t>
            </w:r>
          </w:p>
          <w:p w14:paraId="02EB378F" w14:textId="77777777" w:rsidR="00203A93" w:rsidRPr="00AB16D4" w:rsidRDefault="00203A93" w:rsidP="00245BD4">
            <w:pPr>
              <w:jc w:val="center"/>
              <w:rPr>
                <w:sz w:val="24"/>
                <w:szCs w:val="24"/>
              </w:rPr>
            </w:pPr>
          </w:p>
        </w:tc>
      </w:tr>
      <w:tr w:rsidR="0020341D" w:rsidRPr="00AB16D4" w14:paraId="3A9261B0" w14:textId="77777777" w:rsidTr="53AE06AE">
        <w:tc>
          <w:tcPr>
            <w:tcW w:w="2263" w:type="dxa"/>
          </w:tcPr>
          <w:p w14:paraId="2929E8BD" w14:textId="77777777" w:rsidR="0020341D" w:rsidRPr="00AB16D4" w:rsidRDefault="0020341D" w:rsidP="0020341D">
            <w:pPr>
              <w:rPr>
                <w:sz w:val="24"/>
                <w:szCs w:val="24"/>
              </w:rPr>
            </w:pPr>
            <w:r w:rsidRPr="00AB16D4">
              <w:rPr>
                <w:sz w:val="24"/>
                <w:szCs w:val="24"/>
              </w:rPr>
              <w:t>Subject Name</w:t>
            </w:r>
          </w:p>
        </w:tc>
        <w:tc>
          <w:tcPr>
            <w:tcW w:w="8175" w:type="dxa"/>
          </w:tcPr>
          <w:p w14:paraId="6A05A809" w14:textId="0CC78E27" w:rsidR="0020341D" w:rsidRDefault="00151538" w:rsidP="0086209D">
            <w:pPr>
              <w:tabs>
                <w:tab w:val="left" w:pos="690"/>
                <w:tab w:val="left" w:pos="301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Workplace Practices - locally named Career Pathways Program (CPP)</w:t>
            </w:r>
          </w:p>
          <w:p w14:paraId="5A39BBE3" w14:textId="77777777" w:rsidR="00203A93" w:rsidRPr="00AB16D4" w:rsidRDefault="00203A93" w:rsidP="00203A93">
            <w:pPr>
              <w:tabs>
                <w:tab w:val="left" w:pos="690"/>
              </w:tabs>
              <w:rPr>
                <w:sz w:val="24"/>
                <w:szCs w:val="24"/>
              </w:rPr>
            </w:pPr>
          </w:p>
        </w:tc>
      </w:tr>
      <w:tr w:rsidR="00B770F9" w:rsidRPr="00AB16D4" w14:paraId="4A2F8F2F" w14:textId="77777777" w:rsidTr="53AE06AE">
        <w:tc>
          <w:tcPr>
            <w:tcW w:w="2263" w:type="dxa"/>
          </w:tcPr>
          <w:p w14:paraId="3EEE5838" w14:textId="77777777" w:rsidR="00B770F9" w:rsidRDefault="00B770F9" w:rsidP="00B770F9">
            <w:pPr>
              <w:tabs>
                <w:tab w:val="center" w:pos="11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SACE level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8175" w:type="dxa"/>
          </w:tcPr>
          <w:p w14:paraId="5D95CF08" w14:textId="77777777" w:rsidR="00B770F9" w:rsidRDefault="00B770F9" w:rsidP="00B770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Stage 1                                                        </w:t>
            </w:r>
            <w:r w:rsidRPr="003A69BD">
              <w:rPr>
                <w:sz w:val="24"/>
                <w:szCs w:val="24"/>
                <w:highlight w:val="yellow"/>
              </w:rPr>
              <w:t>Stage 2</w:t>
            </w:r>
          </w:p>
          <w:p w14:paraId="41C8F396" w14:textId="77777777" w:rsidR="00203A93" w:rsidRPr="00AB16D4" w:rsidRDefault="00203A93" w:rsidP="00B770F9">
            <w:pPr>
              <w:jc w:val="center"/>
              <w:rPr>
                <w:sz w:val="24"/>
                <w:szCs w:val="24"/>
              </w:rPr>
            </w:pPr>
          </w:p>
        </w:tc>
      </w:tr>
      <w:tr w:rsidR="007826F7" w:rsidRPr="00AB16D4" w14:paraId="1B148FD7" w14:textId="77777777" w:rsidTr="53AE06AE">
        <w:tc>
          <w:tcPr>
            <w:tcW w:w="2263" w:type="dxa"/>
          </w:tcPr>
          <w:p w14:paraId="5562A994" w14:textId="77777777" w:rsidR="007826F7" w:rsidRDefault="007826F7" w:rsidP="00B770F9">
            <w:pPr>
              <w:tabs>
                <w:tab w:val="center" w:pos="11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 Description</w:t>
            </w:r>
          </w:p>
          <w:p w14:paraId="72A3D3EC" w14:textId="77777777" w:rsidR="007826F7" w:rsidRDefault="007826F7" w:rsidP="00B770F9">
            <w:pPr>
              <w:tabs>
                <w:tab w:val="center" w:pos="1165"/>
              </w:tabs>
              <w:rPr>
                <w:sz w:val="24"/>
                <w:szCs w:val="24"/>
              </w:rPr>
            </w:pPr>
          </w:p>
        </w:tc>
        <w:tc>
          <w:tcPr>
            <w:tcW w:w="8175" w:type="dxa"/>
          </w:tcPr>
          <w:p w14:paraId="75C41708" w14:textId="77777777" w:rsidR="00151538" w:rsidRDefault="00151538" w:rsidP="009504DC">
            <w:pPr>
              <w:rPr>
                <w:sz w:val="24"/>
                <w:szCs w:val="24"/>
              </w:rPr>
            </w:pPr>
            <w:r w:rsidRPr="00151538">
              <w:rPr>
                <w:sz w:val="24"/>
                <w:szCs w:val="24"/>
              </w:rPr>
              <w:t xml:space="preserve">This program </w:t>
            </w:r>
            <w:proofErr w:type="gramStart"/>
            <w:r w:rsidRPr="00151538">
              <w:rPr>
                <w:sz w:val="24"/>
                <w:szCs w:val="24"/>
              </w:rPr>
              <w:t>is designed</w:t>
            </w:r>
            <w:proofErr w:type="gramEnd"/>
            <w:r w:rsidRPr="00151538">
              <w:rPr>
                <w:sz w:val="24"/>
                <w:szCs w:val="24"/>
              </w:rPr>
              <w:t xml:space="preserve"> to prepare all students for a successful future beyond school in their chosen career pathway. In the Career Pathways Program (CPP) students undertake study within two broad areas: </w:t>
            </w:r>
          </w:p>
          <w:p w14:paraId="6F7A7CD1" w14:textId="77777777" w:rsidR="00151538" w:rsidRDefault="00151538" w:rsidP="009504DC">
            <w:pPr>
              <w:rPr>
                <w:sz w:val="24"/>
                <w:szCs w:val="24"/>
              </w:rPr>
            </w:pPr>
            <w:r w:rsidRPr="00151538">
              <w:rPr>
                <w:sz w:val="24"/>
                <w:szCs w:val="24"/>
              </w:rPr>
              <w:t xml:space="preserve">• Self-Development </w:t>
            </w:r>
          </w:p>
          <w:p w14:paraId="03F58D6F" w14:textId="77777777" w:rsidR="00151538" w:rsidRDefault="00151538" w:rsidP="009504DC">
            <w:pPr>
              <w:rPr>
                <w:sz w:val="24"/>
                <w:szCs w:val="24"/>
              </w:rPr>
            </w:pPr>
            <w:r w:rsidRPr="00151538">
              <w:rPr>
                <w:sz w:val="24"/>
                <w:szCs w:val="24"/>
              </w:rPr>
              <w:t xml:space="preserve">• Career Exploration &amp; Management </w:t>
            </w:r>
          </w:p>
          <w:p w14:paraId="664ACC2B" w14:textId="77777777" w:rsidR="00151538" w:rsidRDefault="00151538" w:rsidP="009504DC">
            <w:pPr>
              <w:rPr>
                <w:sz w:val="24"/>
                <w:szCs w:val="24"/>
              </w:rPr>
            </w:pPr>
          </w:p>
          <w:p w14:paraId="4B94D5A5" w14:textId="5E878D13" w:rsidR="00203A93" w:rsidRPr="00151538" w:rsidRDefault="00151538" w:rsidP="009504DC">
            <w:pPr>
              <w:rPr>
                <w:sz w:val="24"/>
                <w:szCs w:val="24"/>
              </w:rPr>
            </w:pPr>
            <w:r w:rsidRPr="00151538">
              <w:rPr>
                <w:sz w:val="24"/>
                <w:szCs w:val="24"/>
              </w:rPr>
              <w:t xml:space="preserve">The Career Pathways Program (CPP) guides students to create a vision about their post-school pathway, allowing them to successfully transition to careers beyond secondary school. This </w:t>
            </w:r>
            <w:proofErr w:type="gramStart"/>
            <w:r w:rsidRPr="00151538">
              <w:rPr>
                <w:sz w:val="24"/>
                <w:szCs w:val="24"/>
              </w:rPr>
              <w:t>is achieved</w:t>
            </w:r>
            <w:proofErr w:type="gramEnd"/>
            <w:r w:rsidRPr="00151538">
              <w:rPr>
                <w:sz w:val="24"/>
                <w:szCs w:val="24"/>
              </w:rPr>
              <w:t xml:space="preserve"> through completing an individualised career program</w:t>
            </w:r>
            <w:r>
              <w:rPr>
                <w:sz w:val="24"/>
                <w:szCs w:val="24"/>
              </w:rPr>
              <w:t>,</w:t>
            </w:r>
            <w:r w:rsidRPr="00151538">
              <w:rPr>
                <w:sz w:val="24"/>
                <w:szCs w:val="24"/>
              </w:rPr>
              <w:t xml:space="preserve"> which enables students to acquire the knowledge, develop the skills and promote the capabilities for managing their future training, further education and employment pathways.</w:t>
            </w:r>
          </w:p>
        </w:tc>
      </w:tr>
      <w:tr w:rsidR="00B770F9" w:rsidRPr="00AB16D4" w14:paraId="4B084C99" w14:textId="77777777" w:rsidTr="53AE06AE">
        <w:tc>
          <w:tcPr>
            <w:tcW w:w="2263" w:type="dxa"/>
          </w:tcPr>
          <w:p w14:paraId="537CBE6F" w14:textId="77777777" w:rsidR="00B770F9" w:rsidRPr="00AB16D4" w:rsidRDefault="00B770F9" w:rsidP="00B770F9">
            <w:pPr>
              <w:rPr>
                <w:sz w:val="24"/>
                <w:szCs w:val="24"/>
              </w:rPr>
            </w:pPr>
            <w:r w:rsidRPr="00AB16D4">
              <w:rPr>
                <w:sz w:val="24"/>
                <w:szCs w:val="24"/>
              </w:rPr>
              <w:t>Period of delivery</w:t>
            </w:r>
          </w:p>
        </w:tc>
        <w:tc>
          <w:tcPr>
            <w:tcW w:w="8175" w:type="dxa"/>
          </w:tcPr>
          <w:p w14:paraId="7F9DDE32" w14:textId="77777777" w:rsidR="00B770F9" w:rsidRDefault="00B770F9" w:rsidP="00B770F9">
            <w:pPr>
              <w:jc w:val="center"/>
              <w:rPr>
                <w:sz w:val="24"/>
                <w:szCs w:val="24"/>
              </w:rPr>
            </w:pPr>
            <w:r w:rsidRPr="009504DC">
              <w:rPr>
                <w:sz w:val="24"/>
                <w:szCs w:val="24"/>
                <w:highlight w:val="yellow"/>
              </w:rPr>
              <w:t>Semester 1                                           Semester 2</w:t>
            </w:r>
            <w:r w:rsidRPr="00AB16D4">
              <w:rPr>
                <w:sz w:val="24"/>
                <w:szCs w:val="24"/>
              </w:rPr>
              <w:t xml:space="preserve"> </w:t>
            </w:r>
          </w:p>
          <w:p w14:paraId="3DEEC669" w14:textId="77777777" w:rsidR="00203A93" w:rsidRPr="00AB16D4" w:rsidRDefault="00203A93" w:rsidP="00B770F9">
            <w:pPr>
              <w:jc w:val="center"/>
              <w:rPr>
                <w:sz w:val="24"/>
                <w:szCs w:val="24"/>
              </w:rPr>
            </w:pPr>
          </w:p>
        </w:tc>
      </w:tr>
      <w:tr w:rsidR="00B770F9" w:rsidRPr="00AB16D4" w14:paraId="0F4326A4" w14:textId="77777777" w:rsidTr="53AE06AE">
        <w:tc>
          <w:tcPr>
            <w:tcW w:w="2263" w:type="dxa"/>
          </w:tcPr>
          <w:p w14:paraId="5C2D7A4E" w14:textId="77777777" w:rsidR="00B770F9" w:rsidRDefault="007826F7" w:rsidP="00B7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Intended </w:t>
            </w:r>
            <w:r w:rsidR="00B770F9" w:rsidRPr="00AB16D4">
              <w:rPr>
                <w:sz w:val="24"/>
                <w:szCs w:val="24"/>
              </w:rPr>
              <w:t>Delivery Method</w:t>
            </w:r>
            <w:r w:rsidR="00B770F9">
              <w:rPr>
                <w:sz w:val="24"/>
                <w:szCs w:val="24"/>
              </w:rPr>
              <w:t xml:space="preserve">: </w:t>
            </w:r>
          </w:p>
          <w:p w14:paraId="3656B9AB" w14:textId="77777777" w:rsidR="00B770F9" w:rsidRPr="00AB16D4" w:rsidRDefault="00B770F9" w:rsidP="00B770F9">
            <w:pPr>
              <w:pStyle w:val="ListParagraph"/>
              <w:ind w:left="306"/>
              <w:rPr>
                <w:sz w:val="24"/>
                <w:szCs w:val="24"/>
              </w:rPr>
            </w:pPr>
          </w:p>
        </w:tc>
        <w:tc>
          <w:tcPr>
            <w:tcW w:w="8175" w:type="dxa"/>
          </w:tcPr>
          <w:p w14:paraId="45FB0818" w14:textId="11D2D080" w:rsidR="00B770F9" w:rsidRDefault="009504DC" w:rsidP="009504DC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Flipped Learning through Microsoft Teams or Learner Management System</w:t>
            </w:r>
          </w:p>
          <w:p w14:paraId="5F958010" w14:textId="26363AB4" w:rsidR="009504DC" w:rsidRDefault="009504DC" w:rsidP="009504DC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Weekly video conferencing through Skype for Business either directly into the classroom time or at a tie negotiated between the two schools.</w:t>
            </w:r>
          </w:p>
          <w:p w14:paraId="0976D4AD" w14:textId="1A8BA721" w:rsidR="009504DC" w:rsidRDefault="009504DC" w:rsidP="009504DC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Practicals to be negotiated between both schools</w:t>
            </w:r>
          </w:p>
          <w:p w14:paraId="4B99056E" w14:textId="182DF991" w:rsidR="00203A93" w:rsidRPr="007826F7" w:rsidRDefault="009504DC" w:rsidP="009504DC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9504DC">
              <w:rPr>
                <w:sz w:val="24"/>
                <w:szCs w:val="24"/>
              </w:rPr>
              <w:t>Face to Face meetings once per term</w:t>
            </w:r>
          </w:p>
        </w:tc>
      </w:tr>
      <w:tr w:rsidR="00B770F9" w:rsidRPr="00AB16D4" w14:paraId="2C72C6F9" w14:textId="77777777" w:rsidTr="53AE06AE">
        <w:tc>
          <w:tcPr>
            <w:tcW w:w="2263" w:type="dxa"/>
          </w:tcPr>
          <w:p w14:paraId="6DC7DF48" w14:textId="77777777" w:rsidR="00B770F9" w:rsidRDefault="53AE06AE" w:rsidP="53AE06AE">
            <w:pPr>
              <w:rPr>
                <w:sz w:val="24"/>
                <w:szCs w:val="24"/>
              </w:rPr>
            </w:pPr>
            <w:r w:rsidRPr="53AE06AE">
              <w:rPr>
                <w:sz w:val="24"/>
                <w:szCs w:val="24"/>
              </w:rPr>
              <w:t>Intervention Support</w:t>
            </w:r>
          </w:p>
          <w:p w14:paraId="72010042" w14:textId="1FC64620" w:rsidR="59042E62" w:rsidRDefault="53AE06AE" w:rsidP="53AE06AE">
            <w:pPr>
              <w:rPr>
                <w:sz w:val="24"/>
                <w:szCs w:val="24"/>
              </w:rPr>
            </w:pPr>
            <w:r w:rsidRPr="53AE06AE">
              <w:rPr>
                <w:sz w:val="24"/>
                <w:szCs w:val="24"/>
              </w:rPr>
              <w:t>(including flexibility)</w:t>
            </w:r>
          </w:p>
          <w:p w14:paraId="1299C43A" w14:textId="77777777" w:rsidR="00203A93" w:rsidRPr="00203A93" w:rsidRDefault="00203A93" w:rsidP="53AE06AE">
            <w:pPr>
              <w:rPr>
                <w:sz w:val="24"/>
                <w:szCs w:val="24"/>
              </w:rPr>
            </w:pPr>
          </w:p>
          <w:p w14:paraId="4DDBEF00" w14:textId="77777777" w:rsidR="00B770F9" w:rsidRPr="00AB16D4" w:rsidRDefault="00B770F9" w:rsidP="53AE06AE">
            <w:pPr>
              <w:pStyle w:val="ListParagraph"/>
              <w:ind w:left="447"/>
              <w:rPr>
                <w:sz w:val="24"/>
                <w:szCs w:val="24"/>
              </w:rPr>
            </w:pPr>
          </w:p>
        </w:tc>
        <w:tc>
          <w:tcPr>
            <w:tcW w:w="8175" w:type="dxa"/>
          </w:tcPr>
          <w:p w14:paraId="3461D779" w14:textId="024BA9D3" w:rsidR="00B770F9" w:rsidRDefault="009504DC" w:rsidP="009504DC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Intervention occurs on a fortnightly basis to monitor student success, with student, parent/caregiver and home school communication.</w:t>
            </w:r>
          </w:p>
          <w:p w14:paraId="65D6FA44" w14:textId="0EC7914D" w:rsidR="009504DC" w:rsidRDefault="009504DC" w:rsidP="009504DC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an assessment task does not meet the minimum C- level, or is not submitted, the teacher will communicate with the parents/caregivers and home school contact to negotiate support strategies.  This could include conversion to Community Studies B or an exit assessment.</w:t>
            </w:r>
          </w:p>
          <w:p w14:paraId="0FB78278" w14:textId="0A69F268" w:rsidR="00203A93" w:rsidRPr="009504DC" w:rsidRDefault="009504DC" w:rsidP="00726DB5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9504DC">
              <w:rPr>
                <w:sz w:val="24"/>
                <w:szCs w:val="24"/>
              </w:rPr>
              <w:t>If, at the end of the course, the student has not met a C- standard overall for the 70% school assessment and 30% trial exam, they will be withdrawn.</w:t>
            </w:r>
          </w:p>
          <w:p w14:paraId="34CE0A41" w14:textId="795670FC" w:rsidR="00203A93" w:rsidRPr="00AB16D4" w:rsidRDefault="00203A93" w:rsidP="5D1A8943">
            <w:pPr>
              <w:rPr>
                <w:sz w:val="24"/>
                <w:szCs w:val="24"/>
              </w:rPr>
            </w:pPr>
          </w:p>
        </w:tc>
      </w:tr>
      <w:tr w:rsidR="00B770F9" w:rsidRPr="00AB16D4" w14:paraId="1561123E" w14:textId="77777777" w:rsidTr="53AE06AE">
        <w:tc>
          <w:tcPr>
            <w:tcW w:w="2263" w:type="dxa"/>
          </w:tcPr>
          <w:p w14:paraId="0030964D" w14:textId="77777777" w:rsidR="00B770F9" w:rsidRPr="00AB16D4" w:rsidRDefault="53AE06AE" w:rsidP="53AE06AE">
            <w:pPr>
              <w:rPr>
                <w:sz w:val="24"/>
                <w:szCs w:val="24"/>
              </w:rPr>
            </w:pPr>
            <w:r w:rsidRPr="53AE06AE">
              <w:rPr>
                <w:sz w:val="24"/>
                <w:szCs w:val="24"/>
              </w:rPr>
              <w:t>Reporting</w:t>
            </w:r>
          </w:p>
        </w:tc>
        <w:tc>
          <w:tcPr>
            <w:tcW w:w="8175" w:type="dxa"/>
          </w:tcPr>
          <w:p w14:paraId="6968D209" w14:textId="1D853A4D" w:rsidR="00B770F9" w:rsidRDefault="00B770F9" w:rsidP="00B770F9">
            <w:pPr>
              <w:rPr>
                <w:sz w:val="24"/>
                <w:szCs w:val="24"/>
              </w:rPr>
            </w:pPr>
            <w:r w:rsidRPr="00B770F9">
              <w:rPr>
                <w:sz w:val="24"/>
                <w:szCs w:val="24"/>
              </w:rPr>
              <w:t xml:space="preserve">Please indicate the frequency and </w:t>
            </w:r>
            <w:r>
              <w:rPr>
                <w:sz w:val="24"/>
                <w:szCs w:val="24"/>
              </w:rPr>
              <w:t xml:space="preserve">format </w:t>
            </w:r>
            <w:r w:rsidRPr="00B770F9">
              <w:rPr>
                <w:sz w:val="24"/>
                <w:szCs w:val="24"/>
              </w:rPr>
              <w:t xml:space="preserve">of </w:t>
            </w:r>
            <w:r>
              <w:rPr>
                <w:sz w:val="24"/>
                <w:szCs w:val="24"/>
              </w:rPr>
              <w:t>reporting</w:t>
            </w:r>
            <w:r w:rsidRPr="00B770F9">
              <w:rPr>
                <w:sz w:val="24"/>
                <w:szCs w:val="24"/>
              </w:rPr>
              <w:t>:</w:t>
            </w:r>
          </w:p>
          <w:p w14:paraId="1B1A707F" w14:textId="18DE1DDD" w:rsidR="009504DC" w:rsidRPr="009504DC" w:rsidRDefault="009504DC" w:rsidP="009504DC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504DC">
              <w:rPr>
                <w:sz w:val="24"/>
                <w:szCs w:val="24"/>
              </w:rPr>
              <w:lastRenderedPageBreak/>
              <w:t>Parents/caregivers and the student are notified of achievement for all assessment tasks via Microsoft Teams or the Learner Management System.</w:t>
            </w:r>
          </w:p>
          <w:p w14:paraId="1C2C584A" w14:textId="6C43E0C7" w:rsidR="009504DC" w:rsidRDefault="009504DC" w:rsidP="00B770F9">
            <w:pPr>
              <w:rPr>
                <w:sz w:val="24"/>
                <w:szCs w:val="24"/>
              </w:rPr>
            </w:pPr>
          </w:p>
          <w:p w14:paraId="5997CC1D" w14:textId="0E89A6C1" w:rsidR="00203A93" w:rsidRPr="009504DC" w:rsidRDefault="009504DC" w:rsidP="00A61EFE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504DC">
              <w:rPr>
                <w:sz w:val="24"/>
                <w:szCs w:val="24"/>
              </w:rPr>
              <w:t>Any other reporting as negotiated with the home school.</w:t>
            </w:r>
          </w:p>
          <w:p w14:paraId="110FFD37" w14:textId="77777777" w:rsidR="00B770F9" w:rsidRPr="00AB16D4" w:rsidRDefault="00B770F9" w:rsidP="00B770F9">
            <w:pPr>
              <w:rPr>
                <w:sz w:val="24"/>
                <w:szCs w:val="24"/>
              </w:rPr>
            </w:pPr>
          </w:p>
        </w:tc>
      </w:tr>
      <w:tr w:rsidR="00B770F9" w:rsidRPr="00AB16D4" w14:paraId="2BC178B7" w14:textId="77777777" w:rsidTr="53AE06AE">
        <w:tc>
          <w:tcPr>
            <w:tcW w:w="2263" w:type="dxa"/>
          </w:tcPr>
          <w:p w14:paraId="05C0D96D" w14:textId="77777777" w:rsidR="00B770F9" w:rsidRPr="00AB16D4" w:rsidRDefault="00203A93" w:rsidP="00B7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Cost</w:t>
            </w:r>
          </w:p>
        </w:tc>
        <w:tc>
          <w:tcPr>
            <w:tcW w:w="8175" w:type="dxa"/>
          </w:tcPr>
          <w:p w14:paraId="3FE9F23F" w14:textId="0E2AA3E2" w:rsidR="00203A93" w:rsidRDefault="00213E7A" w:rsidP="00213E7A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13E7A">
              <w:rPr>
                <w:sz w:val="24"/>
                <w:szCs w:val="24"/>
              </w:rPr>
              <w:t>$1200 per student + 4 days TRT (depending on proximity to Whyalla)</w:t>
            </w:r>
          </w:p>
          <w:p w14:paraId="1F72F646" w14:textId="77777777" w:rsidR="00203A93" w:rsidRPr="00AB16D4" w:rsidRDefault="00203A93" w:rsidP="00B770F9">
            <w:pPr>
              <w:jc w:val="center"/>
              <w:rPr>
                <w:sz w:val="24"/>
                <w:szCs w:val="24"/>
              </w:rPr>
            </w:pPr>
          </w:p>
        </w:tc>
      </w:tr>
      <w:tr w:rsidR="006E7BC8" w:rsidRPr="00AB16D4" w14:paraId="11143B60" w14:textId="77777777" w:rsidTr="53AE06AE">
        <w:tc>
          <w:tcPr>
            <w:tcW w:w="2263" w:type="dxa"/>
          </w:tcPr>
          <w:p w14:paraId="0F9D6C6C" w14:textId="77777777" w:rsidR="006E7BC8" w:rsidRDefault="006E7BC8" w:rsidP="00B770F9">
            <w:pPr>
              <w:rPr>
                <w:sz w:val="24"/>
                <w:szCs w:val="24"/>
              </w:rPr>
            </w:pPr>
            <w:r w:rsidRPr="006E7BC8">
              <w:rPr>
                <w:sz w:val="24"/>
                <w:szCs w:val="24"/>
              </w:rPr>
              <w:t>Curriculum Considerations</w:t>
            </w:r>
          </w:p>
        </w:tc>
        <w:tc>
          <w:tcPr>
            <w:tcW w:w="8175" w:type="dxa"/>
          </w:tcPr>
          <w:p w14:paraId="23DE523C" w14:textId="4F021E84" w:rsidR="006E7BC8" w:rsidRPr="0086209D" w:rsidRDefault="00151538" w:rsidP="00151538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None</w:t>
            </w:r>
            <w:bookmarkStart w:id="0" w:name="_GoBack"/>
            <w:bookmarkEnd w:id="0"/>
          </w:p>
        </w:tc>
      </w:tr>
      <w:tr w:rsidR="5D1A8943" w14:paraId="4D701312" w14:textId="77777777" w:rsidTr="53AE06AE">
        <w:tc>
          <w:tcPr>
            <w:tcW w:w="2263" w:type="dxa"/>
          </w:tcPr>
          <w:p w14:paraId="624B391C" w14:textId="744A2A7C" w:rsidR="5D1A8943" w:rsidRDefault="5D1A8943" w:rsidP="5D1A8943">
            <w:pPr>
              <w:rPr>
                <w:sz w:val="24"/>
                <w:szCs w:val="24"/>
              </w:rPr>
            </w:pPr>
            <w:r w:rsidRPr="5D1A8943">
              <w:rPr>
                <w:sz w:val="24"/>
                <w:szCs w:val="24"/>
              </w:rPr>
              <w:t>LD Delivery school  policies relevant to receiving school/student</w:t>
            </w:r>
          </w:p>
        </w:tc>
        <w:tc>
          <w:tcPr>
            <w:tcW w:w="8175" w:type="dxa"/>
          </w:tcPr>
          <w:p w14:paraId="774EDE8F" w14:textId="118F8151" w:rsidR="5D1A8943" w:rsidRDefault="00213E7A" w:rsidP="00213E7A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 and Plagiarism policies in line with SACE Expectations and EJEHS Deadline Key Process.</w:t>
            </w:r>
          </w:p>
          <w:p w14:paraId="74DE4446" w14:textId="775393BA" w:rsidR="00213E7A" w:rsidRPr="00213E7A" w:rsidRDefault="00213E7A" w:rsidP="00213E7A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Flexibilities in the SACE strategies will be employed where necessary or appropriate</w:t>
            </w:r>
          </w:p>
        </w:tc>
      </w:tr>
    </w:tbl>
    <w:p w14:paraId="52E56223" w14:textId="77777777" w:rsidR="00245BD4" w:rsidRPr="006E7BC8" w:rsidRDefault="00245BD4" w:rsidP="006E7BC8">
      <w:pPr>
        <w:rPr>
          <w:sz w:val="16"/>
        </w:rPr>
      </w:pPr>
    </w:p>
    <w:sectPr w:rsidR="00245BD4" w:rsidRPr="006E7B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68B5C" w14:textId="77777777" w:rsidR="00B86060" w:rsidRDefault="00B86060" w:rsidP="00245BD4">
      <w:pPr>
        <w:spacing w:after="0" w:line="240" w:lineRule="auto"/>
      </w:pPr>
      <w:r>
        <w:separator/>
      </w:r>
    </w:p>
  </w:endnote>
  <w:endnote w:type="continuationSeparator" w:id="0">
    <w:p w14:paraId="077551E5" w14:textId="77777777" w:rsidR="00B86060" w:rsidRDefault="00B86060" w:rsidP="00245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EAF0B" w14:textId="77777777" w:rsidR="00367765" w:rsidRDefault="003677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5F2C5A6E" w14:paraId="36974F36" w14:textId="77777777" w:rsidTr="5F2C5A6E">
      <w:tc>
        <w:tcPr>
          <w:tcW w:w="3009" w:type="dxa"/>
        </w:tcPr>
        <w:p w14:paraId="16460E2B" w14:textId="32728D6D" w:rsidR="5F2C5A6E" w:rsidRDefault="5F2C5A6E" w:rsidP="5F2C5A6E">
          <w:pPr>
            <w:pStyle w:val="Header"/>
            <w:ind w:left="-115"/>
          </w:pPr>
        </w:p>
      </w:tc>
      <w:tc>
        <w:tcPr>
          <w:tcW w:w="3009" w:type="dxa"/>
        </w:tcPr>
        <w:p w14:paraId="41700E6A" w14:textId="7658E516" w:rsidR="5F2C5A6E" w:rsidRDefault="00D73B08" w:rsidP="00D73B08">
          <w:pPr>
            <w:pStyle w:val="Header"/>
            <w:jc w:val="center"/>
          </w:pPr>
          <w:r>
            <w:t>Final 24</w:t>
          </w:r>
          <w:r w:rsidR="5F2C5A6E">
            <w:t>/</w:t>
          </w:r>
          <w:r>
            <w:t>9/2019</w:t>
          </w:r>
        </w:p>
      </w:tc>
      <w:tc>
        <w:tcPr>
          <w:tcW w:w="3009" w:type="dxa"/>
        </w:tcPr>
        <w:p w14:paraId="2E1C2F62" w14:textId="7514A3CD" w:rsidR="5F2C5A6E" w:rsidRDefault="5F2C5A6E" w:rsidP="5F2C5A6E">
          <w:pPr>
            <w:pStyle w:val="Header"/>
            <w:ind w:right="-115"/>
            <w:jc w:val="right"/>
          </w:pPr>
          <w:r>
            <w:t>Appendix A</w:t>
          </w:r>
        </w:p>
      </w:tc>
    </w:tr>
  </w:tbl>
  <w:p w14:paraId="62CDE1E0" w14:textId="710A5DF2" w:rsidR="5F2C5A6E" w:rsidRDefault="5F2C5A6E" w:rsidP="5F2C5A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A8EB3" w14:textId="77777777" w:rsidR="00367765" w:rsidRDefault="003677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D4844" w14:textId="77777777" w:rsidR="00B86060" w:rsidRDefault="00B86060" w:rsidP="00245BD4">
      <w:pPr>
        <w:spacing w:after="0" w:line="240" w:lineRule="auto"/>
      </w:pPr>
      <w:r>
        <w:separator/>
      </w:r>
    </w:p>
  </w:footnote>
  <w:footnote w:type="continuationSeparator" w:id="0">
    <w:p w14:paraId="0FFD665C" w14:textId="77777777" w:rsidR="00B86060" w:rsidRDefault="00B86060" w:rsidP="00245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3B985" w14:textId="77777777" w:rsidR="00367765" w:rsidRDefault="003677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47A01" w14:textId="2DEB5453" w:rsidR="00245BD4" w:rsidRDefault="00245BD4" w:rsidP="00245BD4">
    <w:pPr>
      <w:pStyle w:val="Header"/>
      <w:jc w:val="center"/>
    </w:pPr>
    <w:r>
      <w:rPr>
        <w:noProof/>
        <w:lang w:eastAsia="en-AU"/>
      </w:rPr>
      <w:drawing>
        <wp:inline distT="0" distB="0" distL="0" distR="0" wp14:anchorId="05E6F606" wp14:editId="0878E813">
          <wp:extent cx="2152650" cy="53637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ducation_logo_cmyk_h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0356" cy="5432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drawing>
        <wp:inline distT="0" distB="0" distL="0" distR="0" wp14:anchorId="5D0C1A1A" wp14:editId="34523EFF">
          <wp:extent cx="990600" cy="99968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P lD Logo220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4980" cy="10041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3ABA9" w14:textId="77777777" w:rsidR="00367765" w:rsidRDefault="003677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A3E9D"/>
    <w:multiLevelType w:val="hybridMultilevel"/>
    <w:tmpl w:val="8F3A23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90A36"/>
    <w:multiLevelType w:val="hybridMultilevel"/>
    <w:tmpl w:val="B4E8C6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F0B9F"/>
    <w:multiLevelType w:val="hybridMultilevel"/>
    <w:tmpl w:val="F8F6B4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835F7"/>
    <w:multiLevelType w:val="hybridMultilevel"/>
    <w:tmpl w:val="1D025B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B46A7"/>
    <w:multiLevelType w:val="hybridMultilevel"/>
    <w:tmpl w:val="769E13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ED04D7"/>
    <w:multiLevelType w:val="hybridMultilevel"/>
    <w:tmpl w:val="ABB485F4"/>
    <w:lvl w:ilvl="0" w:tplc="1ADA7832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63C85"/>
    <w:multiLevelType w:val="hybridMultilevel"/>
    <w:tmpl w:val="D9C4AB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961AF6"/>
    <w:multiLevelType w:val="hybridMultilevel"/>
    <w:tmpl w:val="F27C1F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904A4E"/>
    <w:multiLevelType w:val="hybridMultilevel"/>
    <w:tmpl w:val="B262CD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BD4"/>
    <w:rsid w:val="00147548"/>
    <w:rsid w:val="00151538"/>
    <w:rsid w:val="0020341D"/>
    <w:rsid w:val="00203A93"/>
    <w:rsid w:val="00213E7A"/>
    <w:rsid w:val="002267C9"/>
    <w:rsid w:val="00245BD4"/>
    <w:rsid w:val="0026310C"/>
    <w:rsid w:val="00367765"/>
    <w:rsid w:val="003A69BD"/>
    <w:rsid w:val="004622D2"/>
    <w:rsid w:val="006E7BC8"/>
    <w:rsid w:val="007826F7"/>
    <w:rsid w:val="0086209D"/>
    <w:rsid w:val="009504DC"/>
    <w:rsid w:val="00AB16D4"/>
    <w:rsid w:val="00B770F9"/>
    <w:rsid w:val="00B86060"/>
    <w:rsid w:val="00D73B08"/>
    <w:rsid w:val="00E512F2"/>
    <w:rsid w:val="00E552A7"/>
    <w:rsid w:val="00E95A3A"/>
    <w:rsid w:val="0F204EB9"/>
    <w:rsid w:val="53AE06AE"/>
    <w:rsid w:val="59042E62"/>
    <w:rsid w:val="5D1A8943"/>
    <w:rsid w:val="5F2C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DCDED2"/>
  <w15:docId w15:val="{4C96F983-37F9-4B9D-BA36-A7FB72427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BD4"/>
  </w:style>
  <w:style w:type="paragraph" w:styleId="Footer">
    <w:name w:val="footer"/>
    <w:basedOn w:val="Normal"/>
    <w:link w:val="FooterChar"/>
    <w:uiPriority w:val="99"/>
    <w:unhideWhenUsed/>
    <w:rsid w:val="00245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BD4"/>
  </w:style>
  <w:style w:type="table" w:styleId="TableGrid">
    <w:name w:val="Table Grid"/>
    <w:basedOn w:val="TableNormal"/>
    <w:uiPriority w:val="39"/>
    <w:rsid w:val="00203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4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7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7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9B345D80D1C4C921AC209F3B54FED" ma:contentTypeVersion="2" ma:contentTypeDescription="Create a new document." ma:contentTypeScope="" ma:versionID="6185393f07cd9f7baf72451d1c0fa37e">
  <xsd:schema xmlns:xsd="http://www.w3.org/2001/XMLSchema" xmlns:xs="http://www.w3.org/2001/XMLSchema" xmlns:p="http://schemas.microsoft.com/office/2006/metadata/properties" xmlns:ns2="0c59f72d-47a9-4b8d-9e5c-39d9981d5ad6" targetNamespace="http://schemas.microsoft.com/office/2006/metadata/properties" ma:root="true" ma:fieldsID="ec447da7828630d428e48ab6df72c4fe" ns2:_="">
    <xsd:import namespace="0c59f72d-47a9-4b8d-9e5c-39d9981d5a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59f72d-47a9-4b8d-9e5c-39d9981d5a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C0C18-FD7C-4E94-A202-15B77405E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59f72d-47a9-4b8d-9e5c-39d9981d5a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6FDD52-934D-43F7-A8BC-BE3C3C3F82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87AE78-B32B-4CB1-9BF5-0AD862E338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2C7D64-0AA6-48ED-B324-13C9C4F87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Skinner</dc:creator>
  <cp:keywords/>
  <dc:description/>
  <cp:lastModifiedBy>Tash Rayson</cp:lastModifiedBy>
  <cp:revision>3</cp:revision>
  <dcterms:created xsi:type="dcterms:W3CDTF">2019-10-28T22:27:00Z</dcterms:created>
  <dcterms:modified xsi:type="dcterms:W3CDTF">2019-10-28T22:31:00Z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0x010100D799B345D80D1C4C921AC209F3B54FED</vt:lpwstr>
  </property>
</Properties>
</file>