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66" w:rsidRPr="00903ED8" w:rsidRDefault="00433266" w:rsidP="00433266">
      <w:pPr>
        <w:rPr>
          <w:rFonts w:cstheme="minorHAnsi"/>
          <w:sz w:val="44"/>
          <w:szCs w:val="44"/>
        </w:rPr>
      </w:pPr>
      <w:bookmarkStart w:id="0" w:name="_GoBack"/>
      <w:r>
        <w:rPr>
          <w:noProof/>
          <w:lang w:eastAsia="en-AU"/>
        </w:rPr>
        <w:drawing>
          <wp:anchor distT="0" distB="0" distL="114300" distR="114300" simplePos="0" relativeHeight="251659264" behindDoc="1" locked="0" layoutInCell="1" allowOverlap="1" wp14:anchorId="5D91465D" wp14:editId="29454783">
            <wp:simplePos x="0" y="0"/>
            <wp:positionH relativeFrom="margin">
              <wp:align>left</wp:align>
            </wp:positionH>
            <wp:positionV relativeFrom="paragraph">
              <wp:posOffset>7620</wp:posOffset>
            </wp:positionV>
            <wp:extent cx="828675" cy="74358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060">
        <w:rPr>
          <w:rFonts w:cstheme="minorHAnsi"/>
          <w:sz w:val="44"/>
          <w:szCs w:val="44"/>
        </w:rPr>
        <w:t>Certificate I</w:t>
      </w:r>
      <w:r>
        <w:rPr>
          <w:rFonts w:cstheme="minorHAnsi"/>
          <w:sz w:val="44"/>
          <w:szCs w:val="44"/>
        </w:rPr>
        <w:t>I</w:t>
      </w:r>
      <w:r w:rsidRPr="00191060">
        <w:rPr>
          <w:rFonts w:cstheme="minorHAnsi"/>
          <w:sz w:val="44"/>
          <w:szCs w:val="44"/>
        </w:rPr>
        <w:t xml:space="preserve"> in </w:t>
      </w:r>
      <w:r>
        <w:rPr>
          <w:rFonts w:cstheme="minorHAnsi"/>
          <w:sz w:val="44"/>
          <w:szCs w:val="44"/>
        </w:rPr>
        <w:t xml:space="preserve">Kitchen Operations: </w:t>
      </w:r>
      <w:r w:rsidRPr="00191060">
        <w:rPr>
          <w:rFonts w:cstheme="minorHAnsi"/>
          <w:b/>
          <w:sz w:val="44"/>
          <w:szCs w:val="44"/>
        </w:rPr>
        <w:t xml:space="preserve"> </w:t>
      </w:r>
      <w:r>
        <w:rPr>
          <w:rFonts w:cstheme="minorHAnsi"/>
          <w:sz w:val="44"/>
          <w:szCs w:val="44"/>
        </w:rPr>
        <w:t>SIT20416</w:t>
      </w:r>
      <w:bookmarkEnd w:id="0"/>
    </w:p>
    <w:p w:rsidR="00433266" w:rsidRPr="007865F4" w:rsidRDefault="00433266" w:rsidP="00433266">
      <w:pPr>
        <w:jc w:val="both"/>
        <w:rPr>
          <w:rFonts w:cstheme="minorHAnsi"/>
        </w:rPr>
      </w:pPr>
      <w:r w:rsidRPr="007865F4">
        <w:rPr>
          <w:rFonts w:cstheme="minorHAnsi"/>
          <w:b/>
        </w:rPr>
        <w:t xml:space="preserve">Anticipated Duration: </w:t>
      </w:r>
      <w:r w:rsidRPr="007865F4">
        <w:rPr>
          <w:rFonts w:cstheme="minorHAnsi"/>
        </w:rPr>
        <w:t>1 year</w:t>
      </w:r>
    </w:p>
    <w:p w:rsidR="00433266" w:rsidRPr="007865F4" w:rsidRDefault="00433266" w:rsidP="00433266">
      <w:pPr>
        <w:jc w:val="both"/>
        <w:rPr>
          <w:rFonts w:cstheme="minorHAnsi"/>
        </w:rPr>
      </w:pPr>
      <w:r w:rsidRPr="007865F4">
        <w:rPr>
          <w:rFonts w:cstheme="minorHAnsi"/>
          <w:b/>
        </w:rPr>
        <w:t xml:space="preserve">Indicative costing: </w:t>
      </w:r>
      <w:r w:rsidRPr="007865F4">
        <w:rPr>
          <w:rFonts w:cstheme="minorHAnsi"/>
        </w:rPr>
        <w:t>TGSS plus Local delivery costs</w:t>
      </w:r>
    </w:p>
    <w:p w:rsidR="00433266" w:rsidRPr="007865F4" w:rsidRDefault="00433266" w:rsidP="00433266">
      <w:pPr>
        <w:jc w:val="both"/>
        <w:rPr>
          <w:rFonts w:cstheme="minorHAnsi"/>
        </w:rPr>
      </w:pPr>
      <w:r w:rsidRPr="007865F4">
        <w:rPr>
          <w:rFonts w:cstheme="minorHAnsi"/>
          <w:b/>
        </w:rPr>
        <w:t xml:space="preserve">Nominal Hours: </w:t>
      </w:r>
      <w:r w:rsidRPr="007865F4">
        <w:rPr>
          <w:rFonts w:cstheme="minorHAnsi"/>
        </w:rPr>
        <w:t>395</w:t>
      </w:r>
    </w:p>
    <w:p w:rsidR="00433266" w:rsidRPr="007865F4" w:rsidRDefault="00433266" w:rsidP="00433266">
      <w:pPr>
        <w:jc w:val="both"/>
        <w:rPr>
          <w:rFonts w:cstheme="minorHAnsi"/>
        </w:rPr>
      </w:pPr>
      <w:r w:rsidRPr="007865F4">
        <w:rPr>
          <w:rFonts w:cstheme="minorHAnsi"/>
          <w:b/>
        </w:rPr>
        <w:t>Location</w:t>
      </w:r>
      <w:r w:rsidRPr="007865F4">
        <w:rPr>
          <w:rFonts w:cstheme="minorHAnsi"/>
        </w:rPr>
        <w:t xml:space="preserve">: Port Lincoln High School </w:t>
      </w:r>
    </w:p>
    <w:p w:rsidR="00433266" w:rsidRPr="007865F4" w:rsidRDefault="00433266" w:rsidP="00433266">
      <w:pPr>
        <w:jc w:val="both"/>
        <w:rPr>
          <w:rFonts w:cstheme="minorHAnsi"/>
          <w:b/>
          <w:bCs/>
        </w:rPr>
      </w:pPr>
      <w:r w:rsidRPr="007865F4">
        <w:rPr>
          <w:rFonts w:cstheme="minorHAnsi"/>
          <w:b/>
          <w:bCs/>
        </w:rPr>
        <w:t xml:space="preserve">Delivery Mode: </w:t>
      </w:r>
      <w:r w:rsidRPr="007865F4">
        <w:rPr>
          <w:rFonts w:cstheme="minorHAnsi"/>
        </w:rPr>
        <w:t>On PLHS campus in the Trade Training Centre, 4 lessons per week</w:t>
      </w:r>
    </w:p>
    <w:p w:rsidR="00433266" w:rsidRPr="007865F4" w:rsidRDefault="00433266" w:rsidP="00433266">
      <w:pPr>
        <w:jc w:val="both"/>
        <w:rPr>
          <w:rFonts w:cstheme="minorHAnsi"/>
          <w:b/>
          <w:bCs/>
        </w:rPr>
      </w:pPr>
      <w:r w:rsidRPr="007865F4">
        <w:rPr>
          <w:rFonts w:cstheme="minorHAnsi"/>
          <w:b/>
          <w:bCs/>
        </w:rPr>
        <w:t>RTO:</w:t>
      </w:r>
      <w:r w:rsidRPr="007865F4">
        <w:rPr>
          <w:rFonts w:cstheme="minorHAnsi"/>
        </w:rPr>
        <w:t xml:space="preserve"> </w:t>
      </w:r>
      <w:r w:rsidRPr="007865F4">
        <w:rPr>
          <w:rFonts w:eastAsiaTheme="minorEastAsia" w:cstheme="minorHAnsi"/>
        </w:rPr>
        <w:t>TAFESA Port Lincoln</w:t>
      </w:r>
    </w:p>
    <w:p w:rsidR="00433266" w:rsidRPr="007865F4" w:rsidRDefault="00433266" w:rsidP="00433266">
      <w:pPr>
        <w:jc w:val="both"/>
        <w:rPr>
          <w:rFonts w:cstheme="minorHAnsi"/>
          <w:b/>
          <w:bCs/>
        </w:rPr>
      </w:pPr>
      <w:r w:rsidRPr="007865F4">
        <w:rPr>
          <w:rFonts w:cstheme="minorHAnsi"/>
          <w:b/>
          <w:bCs/>
        </w:rPr>
        <w:t>Description:</w:t>
      </w:r>
    </w:p>
    <w:p w:rsidR="00433266" w:rsidRPr="007865F4" w:rsidRDefault="00433266" w:rsidP="00433266">
      <w:pPr>
        <w:jc w:val="both"/>
        <w:rPr>
          <w:rFonts w:cstheme="minorHAnsi"/>
        </w:rPr>
      </w:pPr>
      <w:r w:rsidRPr="007865F4">
        <w:rPr>
          <w:rFonts w:cstheme="minorHAnsi"/>
        </w:rPr>
        <w:t>It is recommended that students have undertaken one semester of a Year 10 Food Technologies subject.</w:t>
      </w:r>
    </w:p>
    <w:p w:rsidR="00433266" w:rsidRPr="007865F4" w:rsidRDefault="00433266" w:rsidP="00433266">
      <w:pPr>
        <w:jc w:val="both"/>
        <w:rPr>
          <w:rFonts w:cstheme="minorHAnsi"/>
        </w:rPr>
      </w:pPr>
      <w:r w:rsidRPr="007865F4">
        <w:rPr>
          <w:rFonts w:cstheme="minorHAnsi"/>
        </w:rPr>
        <w:t>This certificate provides a pathway to work in the food and hospitality industry. The course aims to promote the following employability skills: communication, initiative and enterprise, learning, planning and organising, problem-solving, self-management, teamwork and use of technology.</w:t>
      </w:r>
    </w:p>
    <w:p w:rsidR="00433266" w:rsidRPr="007865F4" w:rsidRDefault="00433266" w:rsidP="00433266">
      <w:pPr>
        <w:jc w:val="both"/>
        <w:rPr>
          <w:rFonts w:cstheme="minorHAnsi"/>
        </w:rPr>
      </w:pPr>
      <w:r w:rsidRPr="007865F4">
        <w:rPr>
          <w:rFonts w:cstheme="minorHAnsi"/>
        </w:rPr>
        <w:t>Students will work in the PLHS Commercial Kitchen for the practical components of the course and on completion of the full course can earn up to 50 SACE credits. The course is delivered by TAFESA lecturers.</w:t>
      </w:r>
    </w:p>
    <w:p w:rsidR="00433266" w:rsidRPr="007865F4" w:rsidRDefault="00433266" w:rsidP="00433266">
      <w:pPr>
        <w:jc w:val="both"/>
        <w:rPr>
          <w:rFonts w:cstheme="minorHAnsi"/>
        </w:rPr>
      </w:pPr>
      <w:r w:rsidRPr="007865F4">
        <w:rPr>
          <w:rFonts w:cstheme="minorHAnsi"/>
        </w:rPr>
        <w:t>The course may enable students to enrol in a Cert 3 Catering Operations Certificate the following year if the Cert II in Kitchen Operations is completed.</w:t>
      </w:r>
    </w:p>
    <w:p w:rsidR="00433266" w:rsidRPr="007865F4" w:rsidRDefault="00433266" w:rsidP="00433266">
      <w:pPr>
        <w:jc w:val="both"/>
        <w:rPr>
          <w:rFonts w:cstheme="minorHAnsi"/>
        </w:rPr>
      </w:pPr>
      <w:r w:rsidRPr="007865F4">
        <w:rPr>
          <w:rFonts w:cstheme="minorHAnsi"/>
        </w:rPr>
        <w:t>Certificate ii in Kitchen Operations: SIT20416</w:t>
      </w:r>
    </w:p>
    <w:p w:rsidR="00433266" w:rsidRPr="00903ED8" w:rsidRDefault="00433266" w:rsidP="00433266">
      <w:pPr>
        <w:jc w:val="both"/>
        <w:rPr>
          <w:rFonts w:cstheme="minorHAnsi"/>
        </w:rPr>
      </w:pPr>
      <w:r w:rsidRPr="007865F4">
        <w:rPr>
          <w:rFonts w:cstheme="minorHAnsi"/>
        </w:rPr>
        <w:t>RTO: TAFESA Port Lincoln</w:t>
      </w:r>
    </w:p>
    <w:tbl>
      <w:tblPr>
        <w:tblStyle w:val="TableGrid"/>
        <w:tblW w:w="9471" w:type="dxa"/>
        <w:tblLook w:val="04A0" w:firstRow="1" w:lastRow="0" w:firstColumn="1" w:lastColumn="0" w:noHBand="0" w:noVBand="1"/>
      </w:tblPr>
      <w:tblGrid>
        <w:gridCol w:w="1590"/>
        <w:gridCol w:w="7031"/>
        <w:gridCol w:w="850"/>
      </w:tblGrid>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SITHCCC005</w:t>
            </w:r>
          </w:p>
        </w:tc>
        <w:tc>
          <w:tcPr>
            <w:tcW w:w="7031" w:type="dxa"/>
            <w:noWrap/>
            <w:hideMark/>
          </w:tcPr>
          <w:p w:rsidR="00433266" w:rsidRPr="00365DFA" w:rsidRDefault="00433266" w:rsidP="005E3490">
            <w:pPr>
              <w:jc w:val="both"/>
              <w:rPr>
                <w:rFonts w:cstheme="minorHAnsi"/>
              </w:rPr>
            </w:pPr>
            <w:r w:rsidRPr="00365DFA">
              <w:rPr>
                <w:rFonts w:cstheme="minorHAnsi"/>
              </w:rPr>
              <w:t>Prepare dishes using basic methods of cookery</w:t>
            </w:r>
          </w:p>
        </w:tc>
        <w:tc>
          <w:tcPr>
            <w:tcW w:w="850" w:type="dxa"/>
            <w:noWrap/>
            <w:hideMark/>
          </w:tcPr>
          <w:p w:rsidR="00433266" w:rsidRPr="00365DFA" w:rsidRDefault="00433266" w:rsidP="005E3490">
            <w:pPr>
              <w:jc w:val="both"/>
              <w:rPr>
                <w:rFonts w:cstheme="minorHAnsi"/>
              </w:rPr>
            </w:pPr>
            <w:r w:rsidRPr="00365DFA">
              <w:rPr>
                <w:rFonts w:cstheme="minorHAnsi"/>
              </w:rPr>
              <w:t>45</w:t>
            </w:r>
          </w:p>
        </w:tc>
      </w:tr>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SITHCCC006</w:t>
            </w:r>
          </w:p>
        </w:tc>
        <w:tc>
          <w:tcPr>
            <w:tcW w:w="7031" w:type="dxa"/>
            <w:noWrap/>
            <w:hideMark/>
          </w:tcPr>
          <w:p w:rsidR="00433266" w:rsidRPr="00365DFA" w:rsidRDefault="00433266" w:rsidP="005E3490">
            <w:pPr>
              <w:jc w:val="both"/>
              <w:rPr>
                <w:rFonts w:cstheme="minorHAnsi"/>
              </w:rPr>
            </w:pPr>
            <w:r w:rsidRPr="00365DFA">
              <w:rPr>
                <w:rFonts w:cstheme="minorHAnsi"/>
              </w:rPr>
              <w:t>Prepare appetisers and salads</w:t>
            </w:r>
          </w:p>
        </w:tc>
        <w:tc>
          <w:tcPr>
            <w:tcW w:w="850" w:type="dxa"/>
            <w:noWrap/>
            <w:hideMark/>
          </w:tcPr>
          <w:p w:rsidR="00433266" w:rsidRPr="00365DFA" w:rsidRDefault="00433266" w:rsidP="005E3490">
            <w:pPr>
              <w:jc w:val="both"/>
              <w:rPr>
                <w:rFonts w:cstheme="minorHAnsi"/>
              </w:rPr>
            </w:pPr>
            <w:r w:rsidRPr="00365DFA">
              <w:rPr>
                <w:rFonts w:cstheme="minorHAnsi"/>
              </w:rPr>
              <w:t>25</w:t>
            </w:r>
          </w:p>
        </w:tc>
      </w:tr>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SITHCCC007</w:t>
            </w:r>
          </w:p>
        </w:tc>
        <w:tc>
          <w:tcPr>
            <w:tcW w:w="7031" w:type="dxa"/>
            <w:noWrap/>
            <w:hideMark/>
          </w:tcPr>
          <w:p w:rsidR="00433266" w:rsidRPr="00365DFA" w:rsidRDefault="00433266" w:rsidP="005E3490">
            <w:pPr>
              <w:jc w:val="both"/>
              <w:rPr>
                <w:rFonts w:cstheme="minorHAnsi"/>
              </w:rPr>
            </w:pPr>
            <w:r w:rsidRPr="00365DFA">
              <w:rPr>
                <w:rFonts w:cstheme="minorHAnsi"/>
              </w:rPr>
              <w:t>Prepare stocks, sauces and soups</w:t>
            </w:r>
          </w:p>
        </w:tc>
        <w:tc>
          <w:tcPr>
            <w:tcW w:w="850" w:type="dxa"/>
            <w:noWrap/>
            <w:hideMark/>
          </w:tcPr>
          <w:p w:rsidR="00433266" w:rsidRPr="00365DFA" w:rsidRDefault="00433266" w:rsidP="005E3490">
            <w:pPr>
              <w:jc w:val="both"/>
              <w:rPr>
                <w:rFonts w:cstheme="minorHAnsi"/>
              </w:rPr>
            </w:pPr>
            <w:r w:rsidRPr="00365DFA">
              <w:rPr>
                <w:rFonts w:cstheme="minorHAnsi"/>
              </w:rPr>
              <w:t>35</w:t>
            </w:r>
          </w:p>
        </w:tc>
      </w:tr>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SITHCCC008</w:t>
            </w:r>
          </w:p>
        </w:tc>
        <w:tc>
          <w:tcPr>
            <w:tcW w:w="7031" w:type="dxa"/>
            <w:noWrap/>
            <w:hideMark/>
          </w:tcPr>
          <w:p w:rsidR="00433266" w:rsidRPr="00365DFA" w:rsidRDefault="00433266" w:rsidP="005E3490">
            <w:pPr>
              <w:jc w:val="both"/>
              <w:rPr>
                <w:rFonts w:cstheme="minorHAnsi"/>
              </w:rPr>
            </w:pPr>
            <w:r w:rsidRPr="00365DFA">
              <w:rPr>
                <w:rFonts w:cstheme="minorHAnsi"/>
              </w:rPr>
              <w:t>Prepare vegetable, fruit, eggs and farinaceous dishes</w:t>
            </w:r>
          </w:p>
        </w:tc>
        <w:tc>
          <w:tcPr>
            <w:tcW w:w="850" w:type="dxa"/>
            <w:noWrap/>
            <w:hideMark/>
          </w:tcPr>
          <w:p w:rsidR="00433266" w:rsidRPr="00365DFA" w:rsidRDefault="00433266" w:rsidP="005E3490">
            <w:pPr>
              <w:jc w:val="both"/>
              <w:rPr>
                <w:rFonts w:cstheme="minorHAnsi"/>
              </w:rPr>
            </w:pPr>
            <w:r w:rsidRPr="00365DFA">
              <w:rPr>
                <w:rFonts w:cstheme="minorHAnsi"/>
              </w:rPr>
              <w:t>45</w:t>
            </w:r>
          </w:p>
        </w:tc>
      </w:tr>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SITHCCC011</w:t>
            </w:r>
          </w:p>
        </w:tc>
        <w:tc>
          <w:tcPr>
            <w:tcW w:w="7031" w:type="dxa"/>
            <w:noWrap/>
            <w:hideMark/>
          </w:tcPr>
          <w:p w:rsidR="00433266" w:rsidRPr="00365DFA" w:rsidRDefault="00433266" w:rsidP="005E3490">
            <w:pPr>
              <w:jc w:val="both"/>
              <w:rPr>
                <w:rFonts w:cstheme="minorHAnsi"/>
              </w:rPr>
            </w:pPr>
            <w:r w:rsidRPr="00365DFA">
              <w:rPr>
                <w:rFonts w:cstheme="minorHAnsi"/>
              </w:rPr>
              <w:t>Use cookery skills effectively</w:t>
            </w:r>
          </w:p>
        </w:tc>
        <w:tc>
          <w:tcPr>
            <w:tcW w:w="850" w:type="dxa"/>
            <w:noWrap/>
            <w:hideMark/>
          </w:tcPr>
          <w:p w:rsidR="00433266" w:rsidRPr="00365DFA" w:rsidRDefault="00433266" w:rsidP="005E3490">
            <w:pPr>
              <w:jc w:val="both"/>
              <w:rPr>
                <w:rFonts w:cstheme="minorHAnsi"/>
              </w:rPr>
            </w:pPr>
            <w:r w:rsidRPr="00365DFA">
              <w:rPr>
                <w:rFonts w:cstheme="minorHAnsi"/>
              </w:rPr>
              <w:t>50</w:t>
            </w:r>
          </w:p>
        </w:tc>
      </w:tr>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SITHFAB005</w:t>
            </w:r>
          </w:p>
        </w:tc>
        <w:tc>
          <w:tcPr>
            <w:tcW w:w="7031" w:type="dxa"/>
            <w:noWrap/>
            <w:hideMark/>
          </w:tcPr>
          <w:p w:rsidR="00433266" w:rsidRPr="00365DFA" w:rsidRDefault="00433266" w:rsidP="005E3490">
            <w:pPr>
              <w:jc w:val="both"/>
              <w:rPr>
                <w:rFonts w:cstheme="minorHAnsi"/>
              </w:rPr>
            </w:pPr>
            <w:r w:rsidRPr="00365DFA">
              <w:rPr>
                <w:rFonts w:cstheme="minorHAnsi"/>
              </w:rPr>
              <w:t>Prepare and serve espresso coffee</w:t>
            </w:r>
          </w:p>
        </w:tc>
        <w:tc>
          <w:tcPr>
            <w:tcW w:w="850" w:type="dxa"/>
            <w:noWrap/>
            <w:hideMark/>
          </w:tcPr>
          <w:p w:rsidR="00433266" w:rsidRPr="00365DFA" w:rsidRDefault="00433266" w:rsidP="005E3490">
            <w:pPr>
              <w:jc w:val="both"/>
              <w:rPr>
                <w:rFonts w:cstheme="minorHAnsi"/>
              </w:rPr>
            </w:pPr>
            <w:r w:rsidRPr="00365DFA">
              <w:rPr>
                <w:rFonts w:cstheme="minorHAnsi"/>
              </w:rPr>
              <w:t>30</w:t>
            </w:r>
          </w:p>
        </w:tc>
      </w:tr>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SITHKOP001</w:t>
            </w:r>
          </w:p>
        </w:tc>
        <w:tc>
          <w:tcPr>
            <w:tcW w:w="7031" w:type="dxa"/>
            <w:noWrap/>
            <w:hideMark/>
          </w:tcPr>
          <w:p w:rsidR="00433266" w:rsidRPr="00365DFA" w:rsidRDefault="00433266" w:rsidP="005E3490">
            <w:pPr>
              <w:jc w:val="both"/>
              <w:rPr>
                <w:rFonts w:cstheme="minorHAnsi"/>
              </w:rPr>
            </w:pPr>
            <w:r w:rsidRPr="00365DFA">
              <w:rPr>
                <w:rFonts w:cstheme="minorHAnsi"/>
              </w:rPr>
              <w:t>Clean kitchen premises and equipment</w:t>
            </w:r>
          </w:p>
        </w:tc>
        <w:tc>
          <w:tcPr>
            <w:tcW w:w="850" w:type="dxa"/>
            <w:noWrap/>
            <w:hideMark/>
          </w:tcPr>
          <w:p w:rsidR="00433266" w:rsidRPr="00365DFA" w:rsidRDefault="00433266" w:rsidP="005E3490">
            <w:pPr>
              <w:jc w:val="both"/>
              <w:rPr>
                <w:rFonts w:cstheme="minorHAnsi"/>
              </w:rPr>
            </w:pPr>
            <w:r w:rsidRPr="00365DFA">
              <w:rPr>
                <w:rFonts w:cstheme="minorHAnsi"/>
              </w:rPr>
              <w:t>13</w:t>
            </w:r>
          </w:p>
        </w:tc>
      </w:tr>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SITXFSA001</w:t>
            </w:r>
          </w:p>
        </w:tc>
        <w:tc>
          <w:tcPr>
            <w:tcW w:w="7031" w:type="dxa"/>
            <w:noWrap/>
            <w:hideMark/>
          </w:tcPr>
          <w:p w:rsidR="00433266" w:rsidRPr="00365DFA" w:rsidRDefault="00433266" w:rsidP="005E3490">
            <w:pPr>
              <w:jc w:val="both"/>
              <w:rPr>
                <w:rFonts w:cstheme="minorHAnsi"/>
              </w:rPr>
            </w:pPr>
            <w:r w:rsidRPr="00365DFA">
              <w:rPr>
                <w:rFonts w:cstheme="minorHAnsi"/>
              </w:rPr>
              <w:t>Use hygienic practices for food safety</w:t>
            </w:r>
          </w:p>
        </w:tc>
        <w:tc>
          <w:tcPr>
            <w:tcW w:w="850" w:type="dxa"/>
            <w:noWrap/>
            <w:hideMark/>
          </w:tcPr>
          <w:p w:rsidR="00433266" w:rsidRPr="00365DFA" w:rsidRDefault="00433266" w:rsidP="005E3490">
            <w:pPr>
              <w:jc w:val="both"/>
              <w:rPr>
                <w:rFonts w:cstheme="minorHAnsi"/>
              </w:rPr>
            </w:pPr>
            <w:r w:rsidRPr="00365DFA">
              <w:rPr>
                <w:rFonts w:cstheme="minorHAnsi"/>
              </w:rPr>
              <w:t>15</w:t>
            </w:r>
          </w:p>
        </w:tc>
      </w:tr>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SITXINV002</w:t>
            </w:r>
          </w:p>
        </w:tc>
        <w:tc>
          <w:tcPr>
            <w:tcW w:w="7031" w:type="dxa"/>
            <w:noWrap/>
            <w:hideMark/>
          </w:tcPr>
          <w:p w:rsidR="00433266" w:rsidRPr="00365DFA" w:rsidRDefault="00433266" w:rsidP="005E3490">
            <w:pPr>
              <w:jc w:val="both"/>
              <w:rPr>
                <w:rFonts w:cstheme="minorHAnsi"/>
              </w:rPr>
            </w:pPr>
            <w:r w:rsidRPr="00365DFA">
              <w:rPr>
                <w:rFonts w:cstheme="minorHAnsi"/>
              </w:rPr>
              <w:t>Maintain the quality of perishable items</w:t>
            </w:r>
          </w:p>
        </w:tc>
        <w:tc>
          <w:tcPr>
            <w:tcW w:w="850" w:type="dxa"/>
            <w:noWrap/>
            <w:hideMark/>
          </w:tcPr>
          <w:p w:rsidR="00433266" w:rsidRPr="00365DFA" w:rsidRDefault="00433266" w:rsidP="005E3490">
            <w:pPr>
              <w:jc w:val="both"/>
              <w:rPr>
                <w:rFonts w:cstheme="minorHAnsi"/>
              </w:rPr>
            </w:pPr>
            <w:r w:rsidRPr="00365DFA">
              <w:rPr>
                <w:rFonts w:cstheme="minorHAnsi"/>
              </w:rPr>
              <w:t>10</w:t>
            </w:r>
          </w:p>
        </w:tc>
      </w:tr>
      <w:tr w:rsidR="00433266" w:rsidRPr="00B60BB5" w:rsidTr="005E3490">
        <w:trPr>
          <w:trHeight w:val="300"/>
        </w:trPr>
        <w:tc>
          <w:tcPr>
            <w:tcW w:w="1590" w:type="dxa"/>
            <w:noWrap/>
            <w:hideMark/>
          </w:tcPr>
          <w:p w:rsidR="00433266" w:rsidRPr="00365DFA" w:rsidRDefault="00433266" w:rsidP="005E3490">
            <w:pPr>
              <w:jc w:val="both"/>
              <w:rPr>
                <w:rFonts w:cstheme="minorHAnsi"/>
              </w:rPr>
            </w:pPr>
            <w:r w:rsidRPr="00365DFA">
              <w:rPr>
                <w:rFonts w:cstheme="minorHAnsi"/>
              </w:rPr>
              <w:t>SITXWHS001</w:t>
            </w:r>
          </w:p>
        </w:tc>
        <w:tc>
          <w:tcPr>
            <w:tcW w:w="7031" w:type="dxa"/>
            <w:noWrap/>
            <w:hideMark/>
          </w:tcPr>
          <w:p w:rsidR="00433266" w:rsidRPr="00365DFA" w:rsidRDefault="00433266" w:rsidP="005E3490">
            <w:pPr>
              <w:jc w:val="both"/>
              <w:rPr>
                <w:rFonts w:cstheme="minorHAnsi"/>
              </w:rPr>
            </w:pPr>
            <w:r w:rsidRPr="00365DFA">
              <w:rPr>
                <w:rFonts w:cstheme="minorHAnsi"/>
              </w:rPr>
              <w:t>Participate in safe work practices</w:t>
            </w:r>
          </w:p>
        </w:tc>
        <w:tc>
          <w:tcPr>
            <w:tcW w:w="850" w:type="dxa"/>
            <w:noWrap/>
            <w:hideMark/>
          </w:tcPr>
          <w:p w:rsidR="00433266" w:rsidRPr="00365DFA" w:rsidRDefault="00433266" w:rsidP="005E3490">
            <w:pPr>
              <w:jc w:val="both"/>
              <w:rPr>
                <w:rFonts w:cstheme="minorHAnsi"/>
              </w:rPr>
            </w:pPr>
            <w:r w:rsidRPr="00365DFA">
              <w:rPr>
                <w:rFonts w:cstheme="minorHAnsi"/>
              </w:rPr>
              <w:t>12</w:t>
            </w:r>
          </w:p>
        </w:tc>
      </w:tr>
      <w:tr w:rsidR="00433266" w:rsidRPr="00B60BB5" w:rsidTr="005E3490">
        <w:trPr>
          <w:trHeight w:val="300"/>
        </w:trPr>
        <w:tc>
          <w:tcPr>
            <w:tcW w:w="1590" w:type="dxa"/>
            <w:noWrap/>
          </w:tcPr>
          <w:p w:rsidR="00433266" w:rsidRPr="00365DFA" w:rsidRDefault="00433266" w:rsidP="005E3490">
            <w:pPr>
              <w:jc w:val="both"/>
              <w:rPr>
                <w:rFonts w:cstheme="minorHAnsi"/>
              </w:rPr>
            </w:pPr>
            <w:r w:rsidRPr="00365DFA">
              <w:rPr>
                <w:rFonts w:cstheme="minorHAnsi"/>
              </w:rPr>
              <w:t>SITHCCC018</w:t>
            </w:r>
          </w:p>
        </w:tc>
        <w:tc>
          <w:tcPr>
            <w:tcW w:w="7031" w:type="dxa"/>
            <w:noWrap/>
          </w:tcPr>
          <w:p w:rsidR="00433266" w:rsidRPr="00365DFA" w:rsidRDefault="00433266" w:rsidP="005E3490">
            <w:pPr>
              <w:jc w:val="both"/>
              <w:rPr>
                <w:rFonts w:cstheme="minorHAnsi"/>
              </w:rPr>
            </w:pPr>
            <w:r w:rsidRPr="00365DFA">
              <w:rPr>
                <w:rFonts w:cstheme="minorHAnsi"/>
              </w:rPr>
              <w:t>Prepare food to meet specific dietary requirements</w:t>
            </w:r>
          </w:p>
        </w:tc>
        <w:tc>
          <w:tcPr>
            <w:tcW w:w="850" w:type="dxa"/>
            <w:noWrap/>
          </w:tcPr>
          <w:p w:rsidR="00433266" w:rsidRPr="00365DFA" w:rsidRDefault="00433266" w:rsidP="005E3490">
            <w:pPr>
              <w:jc w:val="both"/>
              <w:rPr>
                <w:rFonts w:cstheme="minorHAnsi"/>
              </w:rPr>
            </w:pPr>
            <w:r w:rsidRPr="00365DFA">
              <w:rPr>
                <w:rFonts w:cstheme="minorHAnsi"/>
              </w:rPr>
              <w:t>75</w:t>
            </w:r>
          </w:p>
        </w:tc>
      </w:tr>
      <w:tr w:rsidR="00433266" w:rsidRPr="00B60BB5" w:rsidTr="005E3490">
        <w:trPr>
          <w:trHeight w:val="300"/>
        </w:trPr>
        <w:tc>
          <w:tcPr>
            <w:tcW w:w="1590" w:type="dxa"/>
            <w:noWrap/>
          </w:tcPr>
          <w:p w:rsidR="00433266" w:rsidRPr="00365DFA" w:rsidRDefault="00433266" w:rsidP="005E3490">
            <w:pPr>
              <w:jc w:val="both"/>
              <w:rPr>
                <w:rFonts w:cstheme="minorHAnsi"/>
              </w:rPr>
            </w:pPr>
            <w:r w:rsidRPr="00365DFA">
              <w:rPr>
                <w:rFonts w:cstheme="minorHAnsi"/>
              </w:rPr>
              <w:t>SITHCCC001</w:t>
            </w:r>
          </w:p>
        </w:tc>
        <w:tc>
          <w:tcPr>
            <w:tcW w:w="7031" w:type="dxa"/>
            <w:noWrap/>
          </w:tcPr>
          <w:p w:rsidR="00433266" w:rsidRPr="00365DFA" w:rsidRDefault="00433266" w:rsidP="005E3490">
            <w:pPr>
              <w:jc w:val="both"/>
              <w:rPr>
                <w:rFonts w:cstheme="minorHAnsi"/>
              </w:rPr>
            </w:pPr>
            <w:r w:rsidRPr="00365DFA">
              <w:rPr>
                <w:rFonts w:cstheme="minorHAnsi"/>
              </w:rPr>
              <w:t xml:space="preserve">Use food </w:t>
            </w:r>
            <w:proofErr w:type="spellStart"/>
            <w:r w:rsidRPr="00365DFA">
              <w:rPr>
                <w:rFonts w:cstheme="minorHAnsi"/>
              </w:rPr>
              <w:t>prep.equipment</w:t>
            </w:r>
            <w:proofErr w:type="spellEnd"/>
          </w:p>
        </w:tc>
        <w:tc>
          <w:tcPr>
            <w:tcW w:w="850" w:type="dxa"/>
            <w:noWrap/>
          </w:tcPr>
          <w:p w:rsidR="00433266" w:rsidRPr="00365DFA" w:rsidRDefault="00433266" w:rsidP="005E3490">
            <w:pPr>
              <w:jc w:val="both"/>
              <w:rPr>
                <w:rFonts w:cstheme="minorHAnsi"/>
              </w:rPr>
            </w:pPr>
            <w:r w:rsidRPr="00365DFA">
              <w:rPr>
                <w:rFonts w:cstheme="minorHAnsi"/>
              </w:rPr>
              <w:t>25</w:t>
            </w:r>
          </w:p>
        </w:tc>
      </w:tr>
      <w:tr w:rsidR="00433266" w:rsidRPr="00B60BB5" w:rsidTr="005E3490">
        <w:trPr>
          <w:trHeight w:val="300"/>
        </w:trPr>
        <w:tc>
          <w:tcPr>
            <w:tcW w:w="1590" w:type="dxa"/>
            <w:noWrap/>
          </w:tcPr>
          <w:p w:rsidR="00433266" w:rsidRPr="00365DFA" w:rsidRDefault="00433266" w:rsidP="005E3490">
            <w:pPr>
              <w:jc w:val="both"/>
              <w:rPr>
                <w:rFonts w:cstheme="minorHAnsi"/>
              </w:rPr>
            </w:pPr>
            <w:r w:rsidRPr="00365DFA">
              <w:rPr>
                <w:rFonts w:cstheme="minorHAnsi"/>
              </w:rPr>
              <w:t>BSBWOR203</w:t>
            </w:r>
          </w:p>
        </w:tc>
        <w:tc>
          <w:tcPr>
            <w:tcW w:w="7031" w:type="dxa"/>
            <w:noWrap/>
          </w:tcPr>
          <w:p w:rsidR="00433266" w:rsidRPr="00365DFA" w:rsidRDefault="00433266" w:rsidP="005E3490">
            <w:pPr>
              <w:jc w:val="both"/>
              <w:rPr>
                <w:rFonts w:cstheme="minorHAnsi"/>
              </w:rPr>
            </w:pPr>
            <w:r w:rsidRPr="00365DFA">
              <w:rPr>
                <w:rFonts w:cstheme="minorHAnsi"/>
              </w:rPr>
              <w:t>Work effectively with others</w:t>
            </w:r>
          </w:p>
        </w:tc>
        <w:tc>
          <w:tcPr>
            <w:tcW w:w="850" w:type="dxa"/>
            <w:noWrap/>
          </w:tcPr>
          <w:p w:rsidR="00433266" w:rsidRPr="00365DFA" w:rsidRDefault="00433266" w:rsidP="005E3490">
            <w:pPr>
              <w:jc w:val="both"/>
              <w:rPr>
                <w:rFonts w:cstheme="minorHAnsi"/>
              </w:rPr>
            </w:pPr>
            <w:r w:rsidRPr="00365DFA">
              <w:rPr>
                <w:rFonts w:cstheme="minorHAnsi"/>
              </w:rPr>
              <w:t>15</w:t>
            </w:r>
          </w:p>
        </w:tc>
      </w:tr>
      <w:tr w:rsidR="00433266" w:rsidRPr="00B60BB5" w:rsidTr="005E3490">
        <w:trPr>
          <w:trHeight w:val="300"/>
        </w:trPr>
        <w:tc>
          <w:tcPr>
            <w:tcW w:w="1590" w:type="dxa"/>
            <w:noWrap/>
          </w:tcPr>
          <w:p w:rsidR="00433266" w:rsidRPr="00365DFA" w:rsidRDefault="00433266" w:rsidP="005E3490">
            <w:pPr>
              <w:jc w:val="both"/>
              <w:rPr>
                <w:rFonts w:cstheme="minorHAnsi"/>
              </w:rPr>
            </w:pPr>
          </w:p>
        </w:tc>
        <w:tc>
          <w:tcPr>
            <w:tcW w:w="7031" w:type="dxa"/>
            <w:noWrap/>
          </w:tcPr>
          <w:p w:rsidR="00433266" w:rsidRPr="00365DFA" w:rsidRDefault="00433266" w:rsidP="005E3490">
            <w:pPr>
              <w:jc w:val="both"/>
              <w:rPr>
                <w:rFonts w:cstheme="minorHAnsi"/>
              </w:rPr>
            </w:pPr>
            <w:r>
              <w:rPr>
                <w:rFonts w:cstheme="minorHAnsi"/>
              </w:rPr>
              <w:t>Total Nominal Hours</w:t>
            </w:r>
          </w:p>
        </w:tc>
        <w:tc>
          <w:tcPr>
            <w:tcW w:w="850" w:type="dxa"/>
            <w:noWrap/>
          </w:tcPr>
          <w:p w:rsidR="00433266" w:rsidRPr="00365DFA" w:rsidRDefault="00433266" w:rsidP="005E3490">
            <w:pPr>
              <w:jc w:val="both"/>
              <w:rPr>
                <w:rFonts w:cstheme="minorHAnsi"/>
              </w:rPr>
            </w:pPr>
            <w:r>
              <w:rPr>
                <w:rFonts w:cstheme="minorHAnsi"/>
              </w:rPr>
              <w:t>395</w:t>
            </w:r>
          </w:p>
        </w:tc>
      </w:tr>
    </w:tbl>
    <w:p w:rsidR="00433266" w:rsidRPr="007865F4" w:rsidRDefault="00433266" w:rsidP="00433266">
      <w:pPr>
        <w:jc w:val="both"/>
        <w:rPr>
          <w:rFonts w:cstheme="minorHAnsi"/>
        </w:rPr>
      </w:pPr>
      <w:r w:rsidRPr="007865F4">
        <w:rPr>
          <w:rFonts w:cstheme="minorHAnsi"/>
          <w:b/>
        </w:rPr>
        <w:t>Assessment:</w:t>
      </w:r>
      <w:r w:rsidRPr="007865F4">
        <w:rPr>
          <w:rFonts w:cstheme="minorHAnsi"/>
        </w:rPr>
        <w:t xml:space="preserve"> TAFESA competency based, including practical skills and theoretical knowledge.</w:t>
      </w:r>
    </w:p>
    <w:p w:rsidR="00433266" w:rsidRPr="007865F4" w:rsidRDefault="00433266" w:rsidP="00433266">
      <w:pPr>
        <w:jc w:val="both"/>
        <w:rPr>
          <w:rFonts w:cstheme="minorHAnsi"/>
        </w:rPr>
      </w:pPr>
      <w:r w:rsidRPr="007865F4">
        <w:rPr>
          <w:rFonts w:cstheme="minorHAnsi"/>
          <w:b/>
        </w:rPr>
        <w:t>Considerations:</w:t>
      </w:r>
      <w:r w:rsidRPr="007865F4">
        <w:rPr>
          <w:rFonts w:cstheme="minorHAnsi"/>
        </w:rPr>
        <w:t xml:space="preserve"> This course must be selected for a full year and may contain some work out of school hours.</w:t>
      </w:r>
    </w:p>
    <w:p w:rsidR="00433266" w:rsidRPr="007865F4" w:rsidRDefault="00433266" w:rsidP="00433266">
      <w:pPr>
        <w:jc w:val="both"/>
        <w:rPr>
          <w:rFonts w:cstheme="minorHAnsi"/>
        </w:rPr>
      </w:pPr>
      <w:r w:rsidRPr="007865F4">
        <w:rPr>
          <w:rFonts w:cstheme="minorHAnsi"/>
        </w:rPr>
        <w:t>As this is a TGSS funded course, students must be at least 16 years of age on the first day of Term 1. If they are not 16 on January 29</w:t>
      </w:r>
      <w:r w:rsidRPr="007865F4">
        <w:rPr>
          <w:rFonts w:cstheme="minorHAnsi"/>
          <w:vertAlign w:val="superscript"/>
        </w:rPr>
        <w:t>th</w:t>
      </w:r>
      <w:r w:rsidRPr="007865F4">
        <w:rPr>
          <w:rFonts w:cstheme="minorHAnsi"/>
        </w:rPr>
        <w:t>, they may still enrol in the course but there may be fees attached. They also must not be enrolled in an ASBA, traineeship or other TGSS funded course.</w:t>
      </w:r>
    </w:p>
    <w:p w:rsidR="00B67313" w:rsidRPr="00433266" w:rsidRDefault="00B67313" w:rsidP="00433266"/>
    <w:sectPr w:rsidR="00B67313" w:rsidRPr="00433266" w:rsidSect="00AA73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9D"/>
    <w:rsid w:val="00432D6F"/>
    <w:rsid w:val="00433266"/>
    <w:rsid w:val="00AA739D"/>
    <w:rsid w:val="00B673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5752"/>
  <w15:chartTrackingRefBased/>
  <w15:docId w15:val="{41E9C69F-0B83-4E45-93AF-9A8D17CE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Guthleben, Makenzie (Edward John Eyre High School)</dc:creator>
  <cp:keywords/>
  <dc:description/>
  <cp:lastModifiedBy>Guthleben, Makenzie (Edward John Eyre High School)</cp:lastModifiedBy>
  <cp:revision>2</cp:revision>
  <dcterms:created xsi:type="dcterms:W3CDTF">2019-11-06T01:32:00Z</dcterms:created>
  <dcterms:modified xsi:type="dcterms:W3CDTF">2019-11-06T01:32:00Z</dcterms:modified>
</cp:coreProperties>
</file>